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DD06" w14:textId="77777777" w:rsidR="00D402A4" w:rsidRPr="00D402A4" w:rsidRDefault="00D402A4" w:rsidP="00D402A4">
      <w:pPr>
        <w:widowControl/>
        <w:spacing w:before="100" w:beforeAutospacing="1" w:after="100" w:afterAutospacing="1" w:line="240" w:lineRule="auto"/>
        <w:outlineLvl w:val="2"/>
        <w:rPr>
          <w:rFonts w:asciiTheme="majorHAnsi" w:eastAsia="新細明體" w:hAnsiTheme="majorHAnsi" w:cs="新細明體"/>
          <w:b/>
          <w:bCs/>
          <w:color w:val="000000"/>
          <w:kern w:val="0"/>
          <w14:ligatures w14:val="none"/>
        </w:rPr>
      </w:pPr>
      <w:r w:rsidRPr="00D402A4">
        <w:rPr>
          <w:rFonts w:asciiTheme="majorHAnsi" w:eastAsia="新細明體" w:hAnsiTheme="majorHAnsi" w:cs="新細明體"/>
          <w:b/>
          <w:bCs/>
          <w:color w:val="000000"/>
          <w:kern w:val="0"/>
          <w14:ligatures w14:val="none"/>
        </w:rPr>
        <w:t>Eugène Bozza: </w:t>
      </w:r>
      <w:r w:rsidRPr="00D402A4">
        <w:rPr>
          <w:rFonts w:asciiTheme="majorHAnsi" w:eastAsia="新細明體" w:hAnsiTheme="majorHAnsi" w:cs="新細明體"/>
          <w:b/>
          <w:bCs/>
          <w:i/>
          <w:iCs/>
          <w:color w:val="000000"/>
          <w:kern w:val="0"/>
          <w14:ligatures w14:val="none"/>
        </w:rPr>
        <w:t>Concertino for Tuba</w:t>
      </w:r>
      <w:r w:rsidRPr="00D402A4">
        <w:rPr>
          <w:rFonts w:asciiTheme="majorHAnsi" w:eastAsia="新細明體" w:hAnsiTheme="majorHAnsi" w:cs="新細明體"/>
          <w:b/>
          <w:bCs/>
          <w:color w:val="000000"/>
          <w:kern w:val="0"/>
          <w14:ligatures w14:val="none"/>
        </w:rPr>
        <w:t> (1952)</w:t>
      </w:r>
    </w:p>
    <w:p w14:paraId="0919F7DD" w14:textId="77777777" w:rsidR="00D402A4" w:rsidRPr="00D402A4" w:rsidRDefault="00D402A4" w:rsidP="00D402A4">
      <w:pPr>
        <w:widowControl/>
        <w:spacing w:before="100" w:beforeAutospacing="1" w:after="100" w:afterAutospacing="1" w:line="240" w:lineRule="auto"/>
        <w:rPr>
          <w:rFonts w:asciiTheme="majorHAnsi" w:eastAsia="新細明體" w:hAnsiTheme="majorHAnsi" w:cs="新細明體"/>
          <w:color w:val="000000"/>
          <w:kern w:val="0"/>
          <w14:ligatures w14:val="none"/>
        </w:rPr>
      </w:pPr>
      <w:r w:rsidRPr="00D402A4">
        <w:rPr>
          <w:rFonts w:asciiTheme="majorHAnsi" w:eastAsia="新細明體" w:hAnsiTheme="majorHAnsi" w:cs="新細明體"/>
          <w:b/>
          <w:bCs/>
          <w:color w:val="000000"/>
          <w:kern w:val="0"/>
          <w14:ligatures w14:val="none"/>
        </w:rPr>
        <w:t>I. Allegro vivo</w:t>
      </w:r>
      <w:r w:rsidRPr="00D402A4">
        <w:rPr>
          <w:rFonts w:asciiTheme="majorHAnsi" w:eastAsia="新細明體" w:hAnsiTheme="majorHAnsi" w:cs="新細明體"/>
          <w:color w:val="000000"/>
          <w:kern w:val="0"/>
          <w14:ligatures w14:val="none"/>
        </w:rPr>
        <w:br/>
      </w:r>
      <w:r w:rsidRPr="00D402A4">
        <w:rPr>
          <w:rFonts w:asciiTheme="majorHAnsi" w:eastAsia="新細明體" w:hAnsiTheme="majorHAnsi" w:cs="新細明體"/>
          <w:b/>
          <w:bCs/>
          <w:color w:val="000000"/>
          <w:kern w:val="0"/>
          <w14:ligatures w14:val="none"/>
        </w:rPr>
        <w:t xml:space="preserve">II. Andante ma non </w:t>
      </w:r>
      <w:proofErr w:type="spellStart"/>
      <w:r w:rsidRPr="00D402A4">
        <w:rPr>
          <w:rFonts w:asciiTheme="majorHAnsi" w:eastAsia="新細明體" w:hAnsiTheme="majorHAnsi" w:cs="新細明體"/>
          <w:b/>
          <w:bCs/>
          <w:color w:val="000000"/>
          <w:kern w:val="0"/>
          <w14:ligatures w14:val="none"/>
        </w:rPr>
        <w:t>troppo</w:t>
      </w:r>
      <w:proofErr w:type="spellEnd"/>
      <w:r w:rsidRPr="00D402A4">
        <w:rPr>
          <w:rFonts w:asciiTheme="majorHAnsi" w:eastAsia="新細明體" w:hAnsiTheme="majorHAnsi" w:cs="新細明體"/>
          <w:color w:val="000000"/>
          <w:kern w:val="0"/>
          <w14:ligatures w14:val="none"/>
        </w:rPr>
        <w:br/>
      </w:r>
      <w:r w:rsidRPr="00D402A4">
        <w:rPr>
          <w:rFonts w:asciiTheme="majorHAnsi" w:eastAsia="新細明體" w:hAnsiTheme="majorHAnsi" w:cs="新細明體"/>
          <w:b/>
          <w:bCs/>
          <w:color w:val="000000"/>
          <w:kern w:val="0"/>
          <w14:ligatures w14:val="none"/>
        </w:rPr>
        <w:t>III. Allegro vivo</w:t>
      </w:r>
    </w:p>
    <w:p w14:paraId="4446941B" w14:textId="77777777" w:rsidR="00D402A4" w:rsidRPr="00D402A4" w:rsidRDefault="00D402A4" w:rsidP="00D402A4">
      <w:pPr>
        <w:widowControl/>
        <w:spacing w:before="100" w:beforeAutospacing="1" w:after="100" w:afterAutospacing="1" w:line="240" w:lineRule="auto"/>
        <w:rPr>
          <w:rFonts w:asciiTheme="majorHAnsi" w:eastAsia="新細明體" w:hAnsiTheme="majorHAnsi" w:cs="新細明體"/>
          <w:color w:val="000000"/>
          <w:kern w:val="0"/>
          <w14:ligatures w14:val="none"/>
        </w:rPr>
      </w:pPr>
      <w:r w:rsidRPr="00D402A4">
        <w:rPr>
          <w:rFonts w:asciiTheme="majorHAnsi" w:eastAsia="新細明體" w:hAnsiTheme="majorHAnsi" w:cs="新細明體"/>
          <w:color w:val="000000"/>
          <w:kern w:val="0"/>
          <w14:ligatures w14:val="none"/>
        </w:rPr>
        <w:t>French composer Eugène Bozza (1905–1991) was renowned for his refined craftsmanship and lyrical expressiveness, particularly in works written for wind and brass instruments. Composed in 1952, </w:t>
      </w:r>
      <w:r w:rsidRPr="00D402A4">
        <w:rPr>
          <w:rFonts w:asciiTheme="majorHAnsi" w:eastAsia="新細明體" w:hAnsiTheme="majorHAnsi" w:cs="新細明體"/>
          <w:i/>
          <w:iCs/>
          <w:color w:val="000000"/>
          <w:kern w:val="0"/>
          <w14:ligatures w14:val="none"/>
        </w:rPr>
        <w:t>Concertino for Tuba</w:t>
      </w:r>
      <w:r w:rsidRPr="00D402A4">
        <w:rPr>
          <w:rFonts w:asciiTheme="majorHAnsi" w:eastAsia="新細明體" w:hAnsiTheme="majorHAnsi" w:cs="新細明體"/>
          <w:color w:val="000000"/>
          <w:kern w:val="0"/>
          <w14:ligatures w14:val="none"/>
        </w:rPr>
        <w:t> was among the earliest twentieth-century pieces to highlight the tuba as a solo instrument capable of both virtuosity and lyricism.</w:t>
      </w:r>
    </w:p>
    <w:p w14:paraId="62AC99D6" w14:textId="3F1C4D19" w:rsidR="00D402A4" w:rsidRPr="00D402A4" w:rsidRDefault="00D402A4" w:rsidP="00D402A4">
      <w:pPr>
        <w:widowControl/>
        <w:spacing w:before="100" w:beforeAutospacing="1" w:after="100" w:afterAutospacing="1" w:line="240" w:lineRule="auto"/>
        <w:rPr>
          <w:rFonts w:asciiTheme="majorHAnsi" w:eastAsia="新細明體" w:hAnsiTheme="majorHAnsi" w:cs="新細明體"/>
          <w:color w:val="000000"/>
          <w:kern w:val="0"/>
          <w14:ligatures w14:val="none"/>
        </w:rPr>
      </w:pPr>
      <w:r w:rsidRPr="00D402A4">
        <w:rPr>
          <w:rFonts w:asciiTheme="majorHAnsi" w:eastAsia="新細明體" w:hAnsiTheme="majorHAnsi" w:cs="新細明體"/>
          <w:color w:val="000000"/>
          <w:kern w:val="0"/>
          <w14:ligatures w14:val="none"/>
        </w:rPr>
        <w:t>This three</w:t>
      </w:r>
      <w:r>
        <w:rPr>
          <w:rFonts w:asciiTheme="majorHAnsi" w:eastAsia="新細明體" w:hAnsiTheme="majorHAnsi" w:cs="新細明體"/>
          <w:color w:val="000000"/>
          <w:kern w:val="0"/>
          <w14:ligatures w14:val="none"/>
        </w:rPr>
        <w:t>-movement</w:t>
      </w:r>
      <w:r w:rsidRPr="00D402A4">
        <w:rPr>
          <w:rFonts w:asciiTheme="majorHAnsi" w:eastAsia="新細明體" w:hAnsiTheme="majorHAnsi" w:cs="新細明體"/>
          <w:color w:val="000000"/>
          <w:kern w:val="0"/>
          <w14:ligatures w14:val="none"/>
        </w:rPr>
        <w:t xml:space="preserve"> work reflects Bozza’s signature blend of French elegance and rhythmic vitality. The opening </w:t>
      </w:r>
      <w:r w:rsidRPr="00D402A4">
        <w:rPr>
          <w:rFonts w:asciiTheme="majorHAnsi" w:eastAsia="新細明體" w:hAnsiTheme="majorHAnsi" w:cs="新細明體"/>
          <w:i/>
          <w:iCs/>
          <w:color w:val="000000"/>
          <w:kern w:val="0"/>
          <w14:ligatures w14:val="none"/>
        </w:rPr>
        <w:t>Allegro vivo</w:t>
      </w:r>
      <w:r w:rsidRPr="00D402A4">
        <w:rPr>
          <w:rFonts w:asciiTheme="majorHAnsi" w:eastAsia="新細明體" w:hAnsiTheme="majorHAnsi" w:cs="新細明體"/>
          <w:color w:val="000000"/>
          <w:kern w:val="0"/>
          <w14:ligatures w14:val="none"/>
        </w:rPr>
        <w:t> bursts with energy, displaying the tuba’s unexpected agility and brilliance. The second movement, </w:t>
      </w:r>
      <w:r w:rsidRPr="00D402A4">
        <w:rPr>
          <w:rFonts w:asciiTheme="majorHAnsi" w:eastAsia="新細明體" w:hAnsiTheme="majorHAnsi" w:cs="新細明體"/>
          <w:i/>
          <w:iCs/>
          <w:color w:val="000000"/>
          <w:kern w:val="0"/>
          <w14:ligatures w14:val="none"/>
        </w:rPr>
        <w:t xml:space="preserve">Andante ma non </w:t>
      </w:r>
      <w:proofErr w:type="spellStart"/>
      <w:r w:rsidRPr="00D402A4">
        <w:rPr>
          <w:rFonts w:asciiTheme="majorHAnsi" w:eastAsia="新細明體" w:hAnsiTheme="majorHAnsi" w:cs="新細明體"/>
          <w:i/>
          <w:iCs/>
          <w:color w:val="000000"/>
          <w:kern w:val="0"/>
          <w14:ligatures w14:val="none"/>
        </w:rPr>
        <w:t>troppo</w:t>
      </w:r>
      <w:proofErr w:type="spellEnd"/>
      <w:r w:rsidRPr="00D402A4">
        <w:rPr>
          <w:rFonts w:asciiTheme="majorHAnsi" w:eastAsia="新細明體" w:hAnsiTheme="majorHAnsi" w:cs="新細明體"/>
          <w:color w:val="000000"/>
          <w:kern w:val="0"/>
          <w14:ligatures w14:val="none"/>
        </w:rPr>
        <w:t>, unfolds with warmth and song-like expressiveness, revealing the instrument’s lyrical depth. The final </w:t>
      </w:r>
      <w:r w:rsidRPr="00D402A4">
        <w:rPr>
          <w:rFonts w:asciiTheme="majorHAnsi" w:eastAsia="新細明體" w:hAnsiTheme="majorHAnsi" w:cs="新細明體"/>
          <w:i/>
          <w:iCs/>
          <w:color w:val="000000"/>
          <w:kern w:val="0"/>
          <w14:ligatures w14:val="none"/>
        </w:rPr>
        <w:t>Allegro vivo</w:t>
      </w:r>
      <w:r w:rsidRPr="00D402A4">
        <w:rPr>
          <w:rFonts w:asciiTheme="majorHAnsi" w:eastAsia="新細明體" w:hAnsiTheme="majorHAnsi" w:cs="新細明體"/>
          <w:color w:val="000000"/>
          <w:kern w:val="0"/>
          <w14:ligatures w14:val="none"/>
        </w:rPr>
        <w:t xml:space="preserve"> the lively spirit of the opening, concluding the piece with a bright and triumphant flourish.</w:t>
      </w:r>
    </w:p>
    <w:p w14:paraId="12969244" w14:textId="77777777" w:rsidR="00D402A4" w:rsidRPr="00D402A4" w:rsidRDefault="00D402A4" w:rsidP="00D402A4">
      <w:pPr>
        <w:widowControl/>
        <w:spacing w:before="100" w:beforeAutospacing="1" w:after="100" w:afterAutospacing="1" w:line="240" w:lineRule="auto"/>
        <w:rPr>
          <w:rFonts w:asciiTheme="majorHAnsi" w:eastAsia="新細明體" w:hAnsiTheme="majorHAnsi" w:cs="新細明體"/>
          <w:color w:val="000000"/>
          <w:kern w:val="0"/>
          <w14:ligatures w14:val="none"/>
        </w:rPr>
      </w:pPr>
      <w:r w:rsidRPr="00D402A4">
        <w:rPr>
          <w:rFonts w:asciiTheme="majorHAnsi" w:eastAsia="新細明體" w:hAnsiTheme="majorHAnsi" w:cs="新細明體"/>
          <w:color w:val="000000"/>
          <w:kern w:val="0"/>
          <w14:ligatures w14:val="none"/>
        </w:rPr>
        <w:t>Through its graceful melodies, transparent textures, and spirited character, Bozza’s </w:t>
      </w:r>
      <w:r w:rsidRPr="00D402A4">
        <w:rPr>
          <w:rFonts w:asciiTheme="majorHAnsi" w:eastAsia="新細明體" w:hAnsiTheme="majorHAnsi" w:cs="新細明體"/>
          <w:i/>
          <w:iCs/>
          <w:color w:val="000000"/>
          <w:kern w:val="0"/>
          <w14:ligatures w14:val="none"/>
        </w:rPr>
        <w:t>Concertino for Tuba</w:t>
      </w:r>
      <w:r w:rsidRPr="00D402A4">
        <w:rPr>
          <w:rFonts w:asciiTheme="majorHAnsi" w:eastAsia="新細明體" w:hAnsiTheme="majorHAnsi" w:cs="新細明體"/>
          <w:color w:val="000000"/>
          <w:kern w:val="0"/>
          <w14:ligatures w14:val="none"/>
        </w:rPr>
        <w:t> redefines the instrument’s role—transforming it from a foundation of orchestral sound into a captivating solo voice full of color and personality.</w:t>
      </w:r>
    </w:p>
    <w:p w14:paraId="0827F8BD" w14:textId="77777777" w:rsidR="00D402A4" w:rsidRDefault="00D402A4"/>
    <w:p w14:paraId="3F7CC914" w14:textId="77777777" w:rsidR="00D402A4" w:rsidRDefault="00D402A4"/>
    <w:p w14:paraId="14FA7D82" w14:textId="77777777" w:rsidR="00D402A4" w:rsidRPr="00D402A4" w:rsidRDefault="00D402A4" w:rsidP="00D402A4">
      <w:pPr>
        <w:widowControl/>
        <w:spacing w:before="100" w:beforeAutospacing="1" w:after="100" w:afterAutospacing="1" w:line="240" w:lineRule="auto"/>
        <w:outlineLvl w:val="1"/>
        <w:rPr>
          <w:rFonts w:asciiTheme="majorHAnsi" w:eastAsia="新細明體" w:hAnsiTheme="majorHAnsi" w:cs="新細明體"/>
          <w:b/>
          <w:bCs/>
          <w:color w:val="000000"/>
          <w:kern w:val="0"/>
          <w14:ligatures w14:val="none"/>
        </w:rPr>
      </w:pPr>
      <w:r w:rsidRPr="00D402A4">
        <w:rPr>
          <w:rFonts w:asciiTheme="majorHAnsi" w:eastAsia="新細明體" w:hAnsiTheme="majorHAnsi" w:cs="新細明體"/>
          <w:b/>
          <w:bCs/>
          <w:color w:val="000000"/>
          <w:kern w:val="0"/>
          <w14:ligatures w14:val="none"/>
        </w:rPr>
        <w:t>Sergei Rachmaninoff: </w:t>
      </w:r>
      <w:r w:rsidRPr="00D402A4">
        <w:rPr>
          <w:rFonts w:asciiTheme="majorHAnsi" w:eastAsia="新細明體" w:hAnsiTheme="majorHAnsi" w:cs="新細明體"/>
          <w:b/>
          <w:bCs/>
          <w:i/>
          <w:iCs/>
          <w:color w:val="000000"/>
          <w:kern w:val="0"/>
          <w14:ligatures w14:val="none"/>
        </w:rPr>
        <w:t>Sonata in G minor for Cello and Piano</w:t>
      </w:r>
      <w:r w:rsidRPr="00D402A4">
        <w:rPr>
          <w:rFonts w:asciiTheme="majorHAnsi" w:eastAsia="新細明體" w:hAnsiTheme="majorHAnsi" w:cs="新細明體"/>
          <w:b/>
          <w:bCs/>
          <w:color w:val="000000"/>
          <w:kern w:val="0"/>
          <w14:ligatures w14:val="none"/>
        </w:rPr>
        <w:t>, Op. 19 — III. Andante</w:t>
      </w:r>
    </w:p>
    <w:p w14:paraId="68AD96E0" w14:textId="77777777" w:rsidR="00D402A4" w:rsidRDefault="00D402A4" w:rsidP="00D402A4">
      <w:pPr>
        <w:widowControl/>
        <w:spacing w:before="100" w:beforeAutospacing="1" w:after="100" w:afterAutospacing="1" w:line="240" w:lineRule="auto"/>
        <w:rPr>
          <w:rFonts w:asciiTheme="majorHAnsi" w:eastAsia="新細明體" w:hAnsiTheme="majorHAnsi" w:cs="新細明體"/>
          <w:color w:val="000000"/>
          <w:kern w:val="0"/>
          <w14:ligatures w14:val="none"/>
        </w:rPr>
      </w:pPr>
      <w:r w:rsidRPr="00D402A4">
        <w:rPr>
          <w:rFonts w:asciiTheme="majorHAnsi" w:eastAsia="新細明體" w:hAnsiTheme="majorHAnsi" w:cs="新細明體"/>
          <w:color w:val="000000"/>
          <w:kern w:val="0"/>
          <w14:ligatures w14:val="none"/>
        </w:rPr>
        <w:t>Composed in 1901, Rachmaninoff’s </w:t>
      </w:r>
      <w:r w:rsidRPr="00D402A4">
        <w:rPr>
          <w:rFonts w:asciiTheme="majorHAnsi" w:eastAsia="新細明體" w:hAnsiTheme="majorHAnsi" w:cs="新細明體"/>
          <w:i/>
          <w:iCs/>
          <w:color w:val="000000"/>
          <w:kern w:val="0"/>
          <w14:ligatures w14:val="none"/>
        </w:rPr>
        <w:t>Cello Sonata in G minor</w:t>
      </w:r>
      <w:r w:rsidRPr="00D402A4">
        <w:rPr>
          <w:rFonts w:asciiTheme="majorHAnsi" w:eastAsia="新細明體" w:hAnsiTheme="majorHAnsi" w:cs="新細明體"/>
          <w:color w:val="000000"/>
          <w:kern w:val="0"/>
          <w14:ligatures w14:val="none"/>
        </w:rPr>
        <w:t xml:space="preserve"> stands as one of the most expressive Romantic </w:t>
      </w:r>
      <w:proofErr w:type="gramStart"/>
      <w:r w:rsidRPr="00D402A4">
        <w:rPr>
          <w:rFonts w:asciiTheme="majorHAnsi" w:eastAsia="新細明體" w:hAnsiTheme="majorHAnsi" w:cs="新細明體"/>
          <w:color w:val="000000"/>
          <w:kern w:val="0"/>
          <w14:ligatures w14:val="none"/>
        </w:rPr>
        <w:t>chamber</w:t>
      </w:r>
      <w:proofErr w:type="gramEnd"/>
      <w:r w:rsidRPr="00D402A4">
        <w:rPr>
          <w:rFonts w:asciiTheme="majorHAnsi" w:eastAsia="新細明體" w:hAnsiTheme="majorHAnsi" w:cs="新細明體"/>
          <w:color w:val="000000"/>
          <w:kern w:val="0"/>
          <w14:ligatures w14:val="none"/>
        </w:rPr>
        <w:t xml:space="preserve"> works. The third movement, </w:t>
      </w:r>
      <w:r w:rsidRPr="00D402A4">
        <w:rPr>
          <w:rFonts w:asciiTheme="majorHAnsi" w:eastAsia="新細明體" w:hAnsiTheme="majorHAnsi" w:cs="新細明體"/>
          <w:i/>
          <w:iCs/>
          <w:color w:val="000000"/>
          <w:kern w:val="0"/>
          <w14:ligatures w14:val="none"/>
        </w:rPr>
        <w:t>Andante</w:t>
      </w:r>
      <w:r w:rsidRPr="00D402A4">
        <w:rPr>
          <w:rFonts w:asciiTheme="majorHAnsi" w:eastAsia="新細明體" w:hAnsiTheme="majorHAnsi" w:cs="新細明體"/>
          <w:color w:val="000000"/>
          <w:kern w:val="0"/>
          <w14:ligatures w14:val="none"/>
        </w:rPr>
        <w:t>, is deeply lyrical and intimate, unfolding with a song-like dialogue between the two instruments. Rich harmonies and long melodic lines reflect Rachmaninoff’s gift for heartfelt emotion and his unmistakable Russian romanticism. When performed on another instrument such as the tuba, this movement retains its vocal warmth and introspective beauty, revealing the singing soul at the heart of Rachmaninoff’s music.</w:t>
      </w:r>
    </w:p>
    <w:p w14:paraId="662B0224" w14:textId="77777777" w:rsidR="00D402A4" w:rsidRDefault="00D402A4" w:rsidP="00D402A4">
      <w:pPr>
        <w:widowControl/>
        <w:spacing w:before="100" w:beforeAutospacing="1" w:after="100" w:afterAutospacing="1" w:line="240" w:lineRule="auto"/>
        <w:rPr>
          <w:rFonts w:asciiTheme="majorHAnsi" w:eastAsia="新細明體" w:hAnsiTheme="majorHAnsi" w:cs="新細明體"/>
          <w:color w:val="000000"/>
          <w:kern w:val="0"/>
          <w14:ligatures w14:val="none"/>
        </w:rPr>
      </w:pPr>
    </w:p>
    <w:p w14:paraId="3B72D774" w14:textId="77777777" w:rsidR="00D402A4" w:rsidRDefault="00D402A4" w:rsidP="00D402A4">
      <w:pPr>
        <w:widowControl/>
        <w:spacing w:before="100" w:beforeAutospacing="1" w:after="100" w:afterAutospacing="1" w:line="240" w:lineRule="auto"/>
        <w:outlineLvl w:val="1"/>
        <w:rPr>
          <w:rFonts w:asciiTheme="majorHAnsi" w:eastAsia="新細明體" w:hAnsiTheme="majorHAnsi" w:cs="新細明體"/>
          <w:b/>
          <w:bCs/>
          <w:color w:val="000000"/>
          <w:kern w:val="0"/>
          <w14:ligatures w14:val="none"/>
        </w:rPr>
      </w:pPr>
    </w:p>
    <w:p w14:paraId="361D72EA" w14:textId="77777777" w:rsidR="00C65B3E" w:rsidRDefault="00C65B3E" w:rsidP="00C65B3E">
      <w:pPr>
        <w:pStyle w:val="Web"/>
        <w:rPr>
          <w:rFonts w:ascii="Segoe UI" w:hAnsi="Segoe UI" w:cs="Segoe UI"/>
          <w:color w:val="1D1F25"/>
          <w:sz w:val="20"/>
          <w:szCs w:val="20"/>
        </w:rPr>
      </w:pPr>
      <w:r>
        <w:rPr>
          <w:rStyle w:val="af"/>
          <w:rFonts w:ascii="Segoe UI" w:hAnsi="Segoe UI" w:cs="Segoe UI"/>
          <w:color w:val="1D1F25"/>
          <w:sz w:val="20"/>
          <w:szCs w:val="20"/>
        </w:rPr>
        <w:lastRenderedPageBreak/>
        <w:t>Antony Plog: </w:t>
      </w:r>
      <w:r>
        <w:rPr>
          <w:rStyle w:val="ae"/>
          <w:rFonts w:ascii="Segoe UI" w:hAnsi="Segoe UI" w:cs="Segoe UI"/>
          <w:b/>
          <w:bCs/>
          <w:color w:val="1D1F25"/>
          <w:sz w:val="20"/>
          <w:szCs w:val="20"/>
        </w:rPr>
        <w:t>Three Miniatures</w:t>
      </w:r>
    </w:p>
    <w:p w14:paraId="22CE3C92" w14:textId="77777777" w:rsidR="00C65B3E" w:rsidRDefault="00C65B3E" w:rsidP="00C65B3E">
      <w:pPr>
        <w:pStyle w:val="af0"/>
      </w:pPr>
      <w:r>
        <w:rPr>
          <w:rStyle w:val="af"/>
          <w:rFonts w:ascii="Segoe UI" w:hAnsi="Segoe UI" w:cs="Segoe UI"/>
          <w:color w:val="1D1F25"/>
          <w:sz w:val="20"/>
          <w:szCs w:val="20"/>
        </w:rPr>
        <w:t>I. Allegro vivace</w:t>
      </w:r>
    </w:p>
    <w:p w14:paraId="5CF68467" w14:textId="77777777" w:rsidR="00C65B3E" w:rsidRDefault="00C65B3E" w:rsidP="00C65B3E">
      <w:pPr>
        <w:pStyle w:val="af0"/>
      </w:pPr>
      <w:r>
        <w:rPr>
          <w:rStyle w:val="af"/>
          <w:rFonts w:ascii="Segoe UI" w:hAnsi="Segoe UI" w:cs="Segoe UI"/>
          <w:color w:val="1D1F25"/>
          <w:sz w:val="20"/>
          <w:szCs w:val="20"/>
        </w:rPr>
        <w:t>II. Freely </w:t>
      </w:r>
    </w:p>
    <w:p w14:paraId="78425BAD" w14:textId="77777777" w:rsidR="00C65B3E" w:rsidRDefault="00C65B3E" w:rsidP="00C65B3E">
      <w:pPr>
        <w:pStyle w:val="af0"/>
      </w:pPr>
      <w:r>
        <w:rPr>
          <w:rStyle w:val="af"/>
          <w:rFonts w:ascii="Segoe UI" w:hAnsi="Segoe UI" w:cs="Segoe UI"/>
          <w:color w:val="1D1F25"/>
          <w:sz w:val="20"/>
          <w:szCs w:val="20"/>
        </w:rPr>
        <w:t>III. Allegro vivace</w:t>
      </w:r>
    </w:p>
    <w:p w14:paraId="29B033A0" w14:textId="77777777" w:rsidR="00D402A4" w:rsidRPr="00D402A4" w:rsidRDefault="00D402A4" w:rsidP="00D402A4">
      <w:pPr>
        <w:widowControl/>
        <w:spacing w:before="100" w:beforeAutospacing="1" w:after="100" w:afterAutospacing="1" w:line="240" w:lineRule="auto"/>
        <w:rPr>
          <w:rFonts w:asciiTheme="majorHAnsi" w:eastAsia="新細明體" w:hAnsiTheme="majorHAnsi" w:cs="新細明體"/>
          <w:color w:val="000000"/>
          <w:kern w:val="0"/>
          <w14:ligatures w14:val="none"/>
        </w:rPr>
      </w:pPr>
      <w:r w:rsidRPr="00D402A4">
        <w:rPr>
          <w:rFonts w:asciiTheme="majorHAnsi" w:eastAsia="新細明體" w:hAnsiTheme="majorHAnsi" w:cs="新細明體"/>
          <w:color w:val="000000"/>
          <w:kern w:val="0"/>
          <w14:ligatures w14:val="none"/>
        </w:rPr>
        <w:t>Antony Plog (b. 1947) is an American composer and trumpeter whose music blends rhythmic vitality with lyrical expressiveness. </w:t>
      </w:r>
      <w:r w:rsidRPr="00D402A4">
        <w:rPr>
          <w:rFonts w:asciiTheme="majorHAnsi" w:eastAsia="新細明體" w:hAnsiTheme="majorHAnsi" w:cs="新細明體"/>
          <w:i/>
          <w:iCs/>
          <w:color w:val="000000"/>
          <w:kern w:val="0"/>
          <w14:ligatures w14:val="none"/>
        </w:rPr>
        <w:t>Three Miniatures</w:t>
      </w:r>
      <w:r w:rsidRPr="00D402A4">
        <w:rPr>
          <w:rFonts w:asciiTheme="majorHAnsi" w:eastAsia="新細明體" w:hAnsiTheme="majorHAnsi" w:cs="新細明體"/>
          <w:color w:val="000000"/>
          <w:kern w:val="0"/>
          <w14:ligatures w14:val="none"/>
        </w:rPr>
        <w:t> for tuba and piano presents a concise yet vivid exploration of the instrument’s full range of color, agility, and character.</w:t>
      </w:r>
    </w:p>
    <w:p w14:paraId="67B9514C" w14:textId="77777777" w:rsidR="00D402A4" w:rsidRPr="00D402A4" w:rsidRDefault="00D402A4" w:rsidP="00D402A4">
      <w:pPr>
        <w:widowControl/>
        <w:spacing w:before="100" w:beforeAutospacing="1" w:after="100" w:afterAutospacing="1" w:line="240" w:lineRule="auto"/>
        <w:rPr>
          <w:rFonts w:asciiTheme="majorHAnsi" w:eastAsia="新細明體" w:hAnsiTheme="majorHAnsi" w:cs="新細明體"/>
          <w:color w:val="000000"/>
          <w:kern w:val="0"/>
          <w14:ligatures w14:val="none"/>
        </w:rPr>
      </w:pPr>
      <w:r w:rsidRPr="00D402A4">
        <w:rPr>
          <w:rFonts w:asciiTheme="majorHAnsi" w:eastAsia="新細明體" w:hAnsiTheme="majorHAnsi" w:cs="新細明體"/>
          <w:color w:val="000000"/>
          <w:kern w:val="0"/>
          <w14:ligatures w14:val="none"/>
        </w:rPr>
        <w:t>The first movement opens with rhythmic intensity and playful metric shifts, demanding precise articulation and control. The second movement contrasts this energy with a lyrical and introspective atmosphere, featuring long, vocal-like lines and subtle harmonic tension. The final movement returns to a brilliant, virtuosic spirit, combining humor and sparkle through rapid passages and dynamic contrasts.</w:t>
      </w:r>
    </w:p>
    <w:p w14:paraId="2A515D09" w14:textId="77777777" w:rsidR="00D402A4" w:rsidRPr="00D402A4" w:rsidRDefault="00D402A4" w:rsidP="00D402A4">
      <w:pPr>
        <w:widowControl/>
        <w:spacing w:before="100" w:beforeAutospacing="1" w:after="100" w:afterAutospacing="1" w:line="240" w:lineRule="auto"/>
        <w:rPr>
          <w:rFonts w:asciiTheme="majorHAnsi" w:eastAsia="新細明體" w:hAnsiTheme="majorHAnsi" w:cs="新細明體"/>
          <w:color w:val="000000"/>
          <w:kern w:val="0"/>
          <w14:ligatures w14:val="none"/>
        </w:rPr>
      </w:pPr>
    </w:p>
    <w:p w14:paraId="27C7E3C6" w14:textId="77777777" w:rsidR="00D402A4" w:rsidRPr="00D402A4" w:rsidRDefault="00D402A4"/>
    <w:sectPr w:rsidR="00D402A4" w:rsidRPr="00D402A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A4"/>
    <w:rsid w:val="00210ACF"/>
    <w:rsid w:val="00C65B3E"/>
    <w:rsid w:val="00D40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F3A0BAF"/>
  <w15:chartTrackingRefBased/>
  <w15:docId w15:val="{671A35C1-F646-8140-82B5-AF512B31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2A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D402A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D402A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402A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402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02A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402A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02A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402A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402A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D402A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D402A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402A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402A4"/>
    <w:rPr>
      <w:rFonts w:eastAsiaTheme="majorEastAsia" w:cstheme="majorBidi"/>
      <w:color w:val="0F4761" w:themeColor="accent1" w:themeShade="BF"/>
    </w:rPr>
  </w:style>
  <w:style w:type="character" w:customStyle="1" w:styleId="60">
    <w:name w:val="標題 6 字元"/>
    <w:basedOn w:val="a0"/>
    <w:link w:val="6"/>
    <w:uiPriority w:val="9"/>
    <w:semiHidden/>
    <w:rsid w:val="00D402A4"/>
    <w:rPr>
      <w:rFonts w:eastAsiaTheme="majorEastAsia" w:cstheme="majorBidi"/>
      <w:color w:val="595959" w:themeColor="text1" w:themeTint="A6"/>
    </w:rPr>
  </w:style>
  <w:style w:type="character" w:customStyle="1" w:styleId="70">
    <w:name w:val="標題 7 字元"/>
    <w:basedOn w:val="a0"/>
    <w:link w:val="7"/>
    <w:uiPriority w:val="9"/>
    <w:semiHidden/>
    <w:rsid w:val="00D402A4"/>
    <w:rPr>
      <w:rFonts w:eastAsiaTheme="majorEastAsia" w:cstheme="majorBidi"/>
      <w:color w:val="595959" w:themeColor="text1" w:themeTint="A6"/>
    </w:rPr>
  </w:style>
  <w:style w:type="character" w:customStyle="1" w:styleId="80">
    <w:name w:val="標題 8 字元"/>
    <w:basedOn w:val="a0"/>
    <w:link w:val="8"/>
    <w:uiPriority w:val="9"/>
    <w:semiHidden/>
    <w:rsid w:val="00D402A4"/>
    <w:rPr>
      <w:rFonts w:eastAsiaTheme="majorEastAsia" w:cstheme="majorBidi"/>
      <w:color w:val="272727" w:themeColor="text1" w:themeTint="D8"/>
    </w:rPr>
  </w:style>
  <w:style w:type="character" w:customStyle="1" w:styleId="90">
    <w:name w:val="標題 9 字元"/>
    <w:basedOn w:val="a0"/>
    <w:link w:val="9"/>
    <w:uiPriority w:val="9"/>
    <w:semiHidden/>
    <w:rsid w:val="00D402A4"/>
    <w:rPr>
      <w:rFonts w:eastAsiaTheme="majorEastAsia" w:cstheme="majorBidi"/>
      <w:color w:val="272727" w:themeColor="text1" w:themeTint="D8"/>
    </w:rPr>
  </w:style>
  <w:style w:type="paragraph" w:styleId="a3">
    <w:name w:val="Title"/>
    <w:basedOn w:val="a"/>
    <w:next w:val="a"/>
    <w:link w:val="a4"/>
    <w:uiPriority w:val="10"/>
    <w:qFormat/>
    <w:rsid w:val="00D402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40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2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40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2A4"/>
    <w:pPr>
      <w:spacing w:before="160"/>
      <w:jc w:val="center"/>
    </w:pPr>
    <w:rPr>
      <w:i/>
      <w:iCs/>
      <w:color w:val="404040" w:themeColor="text1" w:themeTint="BF"/>
    </w:rPr>
  </w:style>
  <w:style w:type="character" w:customStyle="1" w:styleId="a8">
    <w:name w:val="引文 字元"/>
    <w:basedOn w:val="a0"/>
    <w:link w:val="a7"/>
    <w:uiPriority w:val="29"/>
    <w:rsid w:val="00D402A4"/>
    <w:rPr>
      <w:i/>
      <w:iCs/>
      <w:color w:val="404040" w:themeColor="text1" w:themeTint="BF"/>
    </w:rPr>
  </w:style>
  <w:style w:type="paragraph" w:styleId="a9">
    <w:name w:val="List Paragraph"/>
    <w:basedOn w:val="a"/>
    <w:uiPriority w:val="34"/>
    <w:qFormat/>
    <w:rsid w:val="00D402A4"/>
    <w:pPr>
      <w:ind w:left="720"/>
      <w:contextualSpacing/>
    </w:pPr>
  </w:style>
  <w:style w:type="character" w:styleId="aa">
    <w:name w:val="Intense Emphasis"/>
    <w:basedOn w:val="a0"/>
    <w:uiPriority w:val="21"/>
    <w:qFormat/>
    <w:rsid w:val="00D402A4"/>
    <w:rPr>
      <w:i/>
      <w:iCs/>
      <w:color w:val="0F4761" w:themeColor="accent1" w:themeShade="BF"/>
    </w:rPr>
  </w:style>
  <w:style w:type="paragraph" w:styleId="ab">
    <w:name w:val="Intense Quote"/>
    <w:basedOn w:val="a"/>
    <w:next w:val="a"/>
    <w:link w:val="ac"/>
    <w:uiPriority w:val="30"/>
    <w:qFormat/>
    <w:rsid w:val="00D40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402A4"/>
    <w:rPr>
      <w:i/>
      <w:iCs/>
      <w:color w:val="0F4761" w:themeColor="accent1" w:themeShade="BF"/>
    </w:rPr>
  </w:style>
  <w:style w:type="character" w:styleId="ad">
    <w:name w:val="Intense Reference"/>
    <w:basedOn w:val="a0"/>
    <w:uiPriority w:val="32"/>
    <w:qFormat/>
    <w:rsid w:val="00D402A4"/>
    <w:rPr>
      <w:b/>
      <w:bCs/>
      <w:smallCaps/>
      <w:color w:val="0F4761" w:themeColor="accent1" w:themeShade="BF"/>
      <w:spacing w:val="5"/>
    </w:rPr>
  </w:style>
  <w:style w:type="character" w:customStyle="1" w:styleId="apple-converted-space">
    <w:name w:val="apple-converted-space"/>
    <w:basedOn w:val="a0"/>
    <w:rsid w:val="00D402A4"/>
  </w:style>
  <w:style w:type="character" w:styleId="ae">
    <w:name w:val="Emphasis"/>
    <w:basedOn w:val="a0"/>
    <w:uiPriority w:val="20"/>
    <w:qFormat/>
    <w:rsid w:val="00D402A4"/>
    <w:rPr>
      <w:i/>
      <w:iCs/>
    </w:rPr>
  </w:style>
  <w:style w:type="paragraph" w:styleId="Web">
    <w:name w:val="Normal (Web)"/>
    <w:basedOn w:val="a"/>
    <w:uiPriority w:val="99"/>
    <w:semiHidden/>
    <w:unhideWhenUsed/>
    <w:rsid w:val="00D402A4"/>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f">
    <w:name w:val="Strong"/>
    <w:basedOn w:val="a0"/>
    <w:uiPriority w:val="22"/>
    <w:qFormat/>
    <w:rsid w:val="00D402A4"/>
    <w:rPr>
      <w:b/>
      <w:bCs/>
    </w:rPr>
  </w:style>
  <w:style w:type="paragraph" w:styleId="af0">
    <w:name w:val="No Spacing"/>
    <w:uiPriority w:val="1"/>
    <w:qFormat/>
    <w:rsid w:val="00D402A4"/>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Wei-Zhen</dc:creator>
  <cp:keywords/>
  <dc:description/>
  <cp:lastModifiedBy>Tung Wei-Zhen</cp:lastModifiedBy>
  <cp:revision>2</cp:revision>
  <dcterms:created xsi:type="dcterms:W3CDTF">2025-11-10T16:15:00Z</dcterms:created>
  <dcterms:modified xsi:type="dcterms:W3CDTF">2025-11-10T16:36:00Z</dcterms:modified>
</cp:coreProperties>
</file>